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74" w:line="424" w:lineRule="auto"/>
        <w:ind w:right="2767" w:firstLine="2746"/>
        <w:rPr/>
      </w:pPr>
      <w:r w:rsidDel="00000000" w:rsidR="00000000" w:rsidRPr="00000000">
        <w:rPr>
          <w:rtl w:val="0"/>
        </w:rPr>
        <w:t xml:space="preserve">Final exam program by discipline</w:t>
      </w:r>
    </w:p>
    <w:p w:rsidR="00000000" w:rsidDel="00000000" w:rsidP="00000000" w:rsidRDefault="00000000" w:rsidRPr="00000000" w14:paraId="00000003">
      <w:pPr>
        <w:pStyle w:val="Heading1"/>
        <w:spacing w:before="74" w:line="424" w:lineRule="auto"/>
        <w:ind w:right="2767" w:firstLine="2746"/>
        <w:rPr/>
      </w:pPr>
      <w:r w:rsidDel="00000000" w:rsidR="00000000" w:rsidRPr="00000000">
        <w:rPr>
          <w:rtl w:val="0"/>
        </w:rPr>
        <w:t xml:space="preserve"> “SMM JOURNALISM”</w:t>
      </w:r>
    </w:p>
    <w:p w:rsidR="00000000" w:rsidDel="00000000" w:rsidP="00000000" w:rsidRDefault="00000000" w:rsidRPr="00000000" w14:paraId="00000004">
      <w:pPr>
        <w:ind w:left="2746" w:right="279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Senior Lecturer Azel Zhanibek</w:t>
      </w:r>
    </w:p>
    <w:p w:rsidR="00000000" w:rsidDel="00000000" w:rsidP="00000000" w:rsidRDefault="00000000" w:rsidRPr="00000000" w14:paraId="00000005">
      <w:pPr>
        <w:spacing w:before="249" w:lineRule="auto"/>
        <w:ind w:left="2746" w:right="27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Research of global and local SMM Journalism 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The role of advertising in SMM 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Social Media Marketing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Blogging as an instrument of self branding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Targeting and ad 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SMM design: types, trends and apps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Psychology of fonts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Key words, maps and geolocation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Marketing plan adaptation for target audience and different demographic groups   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Media Law and legislative base of public information in Kazakhstan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Target audience and Google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The research of real and unreal users using target ad and context ad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Video and photo correction with Canvs and Instalanding apps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Creative content  making process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3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Target ad on Youtube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spacing w:after="0" w:before="0" w:line="240" w:lineRule="auto"/>
        <w:ind w:left="94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210" w:lineRule="auto"/>
        <w:ind w:right="2767" w:firstLine="2746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1. Әлімжанова А.Б. Блогтық журналистика. Алматы: «Қазақ университеті» 2016 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2.Евгений Ющук. Блог. Создать и раскрутитьМ., 2012 /электронный учебник/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i w:val="1"/>
          <w:sz w:val="20"/>
          <w:szCs w:val="20"/>
          <w:rtl w:val="0"/>
        </w:rPr>
        <w:t xml:space="preserve">Акопов А.И.</w:t>
      </w:r>
      <w:r w:rsidDel="00000000" w:rsidR="00000000" w:rsidRPr="00000000">
        <w:rPr>
          <w:sz w:val="20"/>
          <w:szCs w:val="20"/>
          <w:rtl w:val="0"/>
        </w:rPr>
        <w:t xml:space="preserve"> Некоторые вопросы журналистики: история, теория, практика (публикации разных лет). – Ростов-на-Дону, 2002.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i w:val="1"/>
          <w:sz w:val="20"/>
          <w:szCs w:val="20"/>
          <w:rtl w:val="0"/>
        </w:rPr>
        <w:t xml:space="preserve">АлексееваМ.И., Барышева О.В., Гияревский Р.С.</w:t>
      </w:r>
      <w:r w:rsidDel="00000000" w:rsidR="00000000" w:rsidRPr="00000000">
        <w:rPr>
          <w:sz w:val="20"/>
          <w:szCs w:val="20"/>
          <w:rtl w:val="0"/>
        </w:rPr>
        <w:t xml:space="preserve"> Электронная книга. Взгляд в будущее. – М., 2000.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5.</w:t>
      </w:r>
      <w:r w:rsidDel="00000000" w:rsidR="00000000" w:rsidRPr="00000000">
        <w:rPr>
          <w:i w:val="1"/>
          <w:sz w:val="20"/>
          <w:szCs w:val="20"/>
          <w:rtl w:val="0"/>
        </w:rPr>
        <w:t xml:space="preserve">Засурский И.И.</w:t>
      </w:r>
      <w:r w:rsidDel="00000000" w:rsidR="00000000" w:rsidRPr="00000000">
        <w:rPr>
          <w:sz w:val="20"/>
          <w:szCs w:val="20"/>
          <w:rtl w:val="0"/>
        </w:rPr>
        <w:t xml:space="preserve"> Реконструкция России. Массмедиа и политика в 90-е годы. – М., 2001.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6.</w:t>
      </w:r>
      <w:r w:rsidDel="00000000" w:rsidR="00000000" w:rsidRPr="00000000">
        <w:rPr>
          <w:i w:val="1"/>
          <w:sz w:val="20"/>
          <w:szCs w:val="20"/>
          <w:rtl w:val="0"/>
        </w:rPr>
        <w:t xml:space="preserve">Засурский Я.Н., Вартанова Е.Л., Засурский И.И</w:t>
      </w:r>
      <w:r w:rsidDel="00000000" w:rsidR="00000000" w:rsidRPr="00000000">
        <w:rPr>
          <w:sz w:val="20"/>
          <w:szCs w:val="20"/>
          <w:rtl w:val="0"/>
        </w:rPr>
        <w:t xml:space="preserve">. и др. Средства массовой информации постсоветской России. – М., 2002.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7.</w:t>
      </w:r>
      <w:r w:rsidDel="00000000" w:rsidR="00000000" w:rsidRPr="00000000">
        <w:rPr>
          <w:i w:val="1"/>
          <w:sz w:val="20"/>
          <w:szCs w:val="20"/>
          <w:rtl w:val="0"/>
        </w:rPr>
        <w:t xml:space="preserve">Землянова Л.М.</w:t>
      </w:r>
      <w:r w:rsidDel="00000000" w:rsidR="00000000" w:rsidRPr="00000000">
        <w:rPr>
          <w:sz w:val="20"/>
          <w:szCs w:val="20"/>
          <w:rtl w:val="0"/>
        </w:rPr>
        <w:t xml:space="preserve"> Зарубежная коммуникативистика в преддверии информационного общества: Толковый словарь терминов и концепций. – М., 1999. 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8.Система средств массовой информации России / Под ред. Я.Н. Засурского. – М., 2001.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9.Сұлтанбаева Г.С. Бұқаралық ақпарат құралдарындағы саяси коммуникация: шетелдік тәжірибе және Қазақстан. –Алматы: Михаилов М., 2010.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10. Сұлтанбаева Г.С., Әлімжанова А.Б. Мультимедиалық журналистика. Алматы: «Қазақ университеті» 2016 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2"/>
        </w:numPr>
        <w:ind w:left="941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11. Сұлтанбаева Г.С., Есхуатова Н. Интернет  журналистика. Алматы: «Қазақ университеті» 2015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spacing w:after="0" w:before="0" w:line="240" w:lineRule="auto"/>
        <w:ind w:left="94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89" w:lineRule="auto"/>
        <w:ind w:left="566" w:firstLine="0"/>
        <w:jc w:val="left"/>
        <w:rPr/>
      </w:pPr>
      <w:bookmarkStart w:colFirst="0" w:colLast="0" w:name="_heading=h.gxe71dv9n55e" w:id="0"/>
      <w:bookmarkEnd w:id="0"/>
      <w:r w:rsidDel="00000000" w:rsidR="00000000" w:rsidRPr="00000000">
        <w:rPr>
          <w:rtl w:val="0"/>
        </w:rPr>
        <w:t xml:space="preserve">Internet resourсe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20" w:orient="portrait"/>
          <w:pgMar w:bottom="280" w:top="1060" w:left="1480" w:right="6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ind w:left="927" w:hanging="360"/>
        <w:jc w:val="both"/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https://fabrikbrands.com/brand-storytelling-whats-your-corporate-story/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ind w:left="927" w:hanging="360"/>
        <w:jc w:val="both"/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https://www.researchgate.net/publication/262909731_Using_corporate_stories_to_build_the_corporate_brand_An_impression_management_perspective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ind w:left="927" w:hanging="36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https://youtu.be/l_lP2LPFyDw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left="9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0"/>
          <w:tab w:val="left" w:pos="1661"/>
        </w:tabs>
        <w:spacing w:after="0" w:before="1" w:line="240" w:lineRule="auto"/>
        <w:ind w:left="166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89" w:lineRule="auto"/>
        <w:ind w:left="566" w:firstLine="0"/>
        <w:jc w:val="left"/>
        <w:rPr/>
        <w:sectPr>
          <w:type w:val="continuous"/>
          <w:pgSz w:h="16840" w:w="11920" w:orient="portrait"/>
          <w:pgMar w:bottom="280" w:top="1060" w:left="1480" w:right="620" w:header="720" w:footer="720"/>
          <w:cols w:equalWidth="0" w:num="2">
            <w:col w:space="40" w:w="4890"/>
            <w:col w:space="0" w:w="489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0"/>
          <w:tab w:val="left" w:pos="1661"/>
        </w:tabs>
        <w:spacing w:after="0" w:before="1" w:line="240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6840" w:w="11920" w:orient="portrait"/>
          <w:pgMar w:bottom="280" w:top="1060" w:left="1480" w:right="6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0"/>
          <w:tab w:val="left" w:pos="1661"/>
        </w:tabs>
        <w:spacing w:after="0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210" w:line="424" w:lineRule="auto"/>
        <w:ind w:left="3308" w:right="3330" w:firstLine="0"/>
        <w:rPr/>
      </w:pPr>
      <w:r w:rsidDel="00000000" w:rsidR="00000000" w:rsidRPr="00000000">
        <w:rPr>
          <w:rtl w:val="0"/>
        </w:rPr>
        <w:t xml:space="preserve">Rules of academic conduct Dear students!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43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The written traditional exam in the discipline "SMM Journalism" will conducted in the system Zoom by oral.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can familiarize yourself with the technique of passing the exam in the Instructions for students, which is published on the website of KazNU named after al-Farabi, in the section "Distance education" - "Instructions for the session". Please see the link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https://www.kaznu.kz/ru/21639/page/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46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can take the exam only during the scheduled time. After the first login, the exam time starts. After this time, the exam ends automatically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46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If, for technical reasons, you cannot pass the exam on time, then you will be given the opportunity to take it on another day at your request to the Vice-Rector for Academic Affairs. Send the application to the curator-adviser or the teacher of the discipline for forwarding to the Department of Academic Affairs.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46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Ticket structure. The ticket consists of three questions. Each question should be answered with a detailed and reasoned answer, indicating specific examples from media publications to substantiate the answer. The recommended time is 1 (one) hour for each question, a total of 3 (three) hours. The system will generate questions for answers automatically.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6" w:right="27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Evaluation policy: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80"/>
        <w:gridCol w:w="1760"/>
        <w:gridCol w:w="1700"/>
        <w:gridCol w:w="1760"/>
        <w:gridCol w:w="2680"/>
        <w:tblGridChange w:id="0">
          <w:tblGrid>
            <w:gridCol w:w="1680"/>
            <w:gridCol w:w="1760"/>
            <w:gridCol w:w="1700"/>
            <w:gridCol w:w="1760"/>
            <w:gridCol w:w="2680"/>
          </w:tblGrid>
        </w:tblGridChange>
      </w:tblGrid>
      <w:tr>
        <w:trPr>
          <w:cantSplit w:val="0"/>
          <w:trHeight w:val="108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6" w:right="2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 system score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Digital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equivalent of points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content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originality work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6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according to the traditional system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95-100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85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А-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3,67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90-94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85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В+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3,33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85-89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80 to 85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80-84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80 to 85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В-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2,67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75-79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80 to 85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С+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2,33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70-74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75 to 80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Satisfactory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65-69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75 to 80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С-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1,67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60-64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75 to 80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2"/>
          <w:szCs w:val="2"/>
        </w:rPr>
        <w:sectPr>
          <w:type w:val="nextPage"/>
          <w:pgSz w:h="16840" w:w="11920" w:orient="portrait"/>
          <w:pgMar w:bottom="280" w:top="1060" w:left="1480" w:right="6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80"/>
        <w:gridCol w:w="1760"/>
        <w:gridCol w:w="1700"/>
        <w:gridCol w:w="1760"/>
        <w:gridCol w:w="2680"/>
        <w:tblGridChange w:id="0">
          <w:tblGrid>
            <w:gridCol w:w="1680"/>
            <w:gridCol w:w="1760"/>
            <w:gridCol w:w="1700"/>
            <w:gridCol w:w="1760"/>
            <w:gridCol w:w="2680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D+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55-59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75 to 80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D-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50-54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75 to 80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0-49</w:t>
            </w:r>
          </w:p>
        </w:tc>
        <w:tc>
          <w:tcPr>
            <w:shd w:fill="f7f9fa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990600" cy="32004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50700" y="3619980"/>
                                <a:ext cx="990600" cy="320040"/>
                                <a:chOff x="4850700" y="3619980"/>
                                <a:chExt cx="990600" cy="3200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0700" y="3619980"/>
                                  <a:ext cx="990600" cy="320040"/>
                                  <a:chOff x="0" y="0"/>
                                  <a:chExt cx="990600" cy="3200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90600" cy="32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99060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F9F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990600" cy="32004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320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Unsatisfactory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221" w:right="2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IMPORTANT.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Some time after certification, your score may be canceled as a result of detecting violations of the exam rules while watching proctoring video and checking the report for anti-plagiarism.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ind w:left="3852" w:firstLine="0"/>
        <w:jc w:val="both"/>
        <w:rPr/>
      </w:pPr>
      <w:r w:rsidDel="00000000" w:rsidR="00000000" w:rsidRPr="00000000">
        <w:rPr>
          <w:rtl w:val="0"/>
        </w:rPr>
        <w:t xml:space="preserve">Academic values: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47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honesty and integrity: independence in completing all assignments; inadmissibility of plagiarism, forgery, use of cheat sheets, gadgets, cheating at all stages of knowledge control, deception of the teacher and disrespectful attitude towards him (Code of honor of a student of KazNU).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ind w:left="2745" w:right="2792" w:firstLine="0"/>
        <w:rPr/>
      </w:pPr>
      <w:r w:rsidDel="00000000" w:rsidR="00000000" w:rsidRPr="00000000">
        <w:rPr>
          <w:rtl w:val="0"/>
        </w:rPr>
        <w:t xml:space="preserve">GOOD LUCK AT THE EXAM!</w:t>
      </w:r>
    </w:p>
    <w:sectPr>
      <w:type w:val="nextPage"/>
      <w:pgSz w:h="16840" w:w="11920" w:orient="portrait"/>
      <w:pgMar w:bottom="280" w:top="1120" w:left="1480" w:right="6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661" w:hanging="360"/>
      </w:pPr>
      <w:rPr>
        <w:rFonts w:ascii="Helvetica Neue" w:cs="Helvetica Neue" w:eastAsia="Helvetica Neue" w:hAnsi="Helvetica Neue"/>
        <w:sz w:val="24"/>
        <w:szCs w:val="24"/>
      </w:rPr>
    </w:lvl>
    <w:lvl w:ilvl="2">
      <w:start w:val="1"/>
      <w:numFmt w:val="bullet"/>
      <w:lvlText w:val="•"/>
      <w:lvlJc w:val="left"/>
      <w:pPr>
        <w:ind w:left="1831" w:hanging="360"/>
      </w:pPr>
      <w:rPr/>
    </w:lvl>
    <w:lvl w:ilvl="3">
      <w:start w:val="1"/>
      <w:numFmt w:val="bullet"/>
      <w:lvlText w:val="•"/>
      <w:lvlJc w:val="left"/>
      <w:pPr>
        <w:ind w:left="2002" w:hanging="360"/>
      </w:pPr>
      <w:rPr/>
    </w:lvl>
    <w:lvl w:ilvl="4">
      <w:start w:val="1"/>
      <w:numFmt w:val="bullet"/>
      <w:lvlText w:val="•"/>
      <w:lvlJc w:val="left"/>
      <w:pPr>
        <w:ind w:left="2174" w:hanging="360"/>
      </w:pPr>
      <w:rPr/>
    </w:lvl>
    <w:lvl w:ilvl="5">
      <w:start w:val="1"/>
      <w:numFmt w:val="bullet"/>
      <w:lvlText w:val="•"/>
      <w:lvlJc w:val="left"/>
      <w:pPr>
        <w:ind w:left="2345" w:hanging="360"/>
      </w:pPr>
      <w:rPr/>
    </w:lvl>
    <w:lvl w:ilvl="6">
      <w:start w:val="1"/>
      <w:numFmt w:val="bullet"/>
      <w:lvlText w:val="•"/>
      <w:lvlJc w:val="left"/>
      <w:pPr>
        <w:ind w:left="2517" w:hanging="360"/>
      </w:pPr>
      <w:rPr/>
    </w:lvl>
    <w:lvl w:ilvl="7">
      <w:start w:val="1"/>
      <w:numFmt w:val="bullet"/>
      <w:lvlText w:val="•"/>
      <w:lvlJc w:val="left"/>
      <w:pPr>
        <w:ind w:left="2688" w:hanging="360"/>
      </w:pPr>
      <w:rPr/>
    </w:lvl>
    <w:lvl w:ilvl="8">
      <w:start w:val="1"/>
      <w:numFmt w:val="bullet"/>
      <w:lvlText w:val="•"/>
      <w:lvlJc w:val="left"/>
      <w:pPr>
        <w:ind w:left="2859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28" w:hanging="360"/>
      </w:pPr>
      <w:rPr/>
    </w:lvl>
    <w:lvl w:ilvl="2">
      <w:start w:val="1"/>
      <w:numFmt w:val="bullet"/>
      <w:lvlText w:val="•"/>
      <w:lvlJc w:val="left"/>
      <w:pPr>
        <w:ind w:left="2716" w:hanging="360"/>
      </w:pPr>
      <w:rPr/>
    </w:lvl>
    <w:lvl w:ilvl="3">
      <w:start w:val="1"/>
      <w:numFmt w:val="bullet"/>
      <w:lvlText w:val="•"/>
      <w:lvlJc w:val="left"/>
      <w:pPr>
        <w:ind w:left="3604" w:hanging="360"/>
      </w:pPr>
      <w:rPr/>
    </w:lvl>
    <w:lvl w:ilvl="4">
      <w:start w:val="1"/>
      <w:numFmt w:val="bullet"/>
      <w:lvlText w:val="•"/>
      <w:lvlJc w:val="left"/>
      <w:pPr>
        <w:ind w:left="4492" w:hanging="360"/>
      </w:pPr>
      <w:rPr/>
    </w:lvl>
    <w:lvl w:ilvl="5">
      <w:start w:val="1"/>
      <w:numFmt w:val="bullet"/>
      <w:lvlText w:val="•"/>
      <w:lvlJc w:val="left"/>
      <w:pPr>
        <w:ind w:left="5380" w:hanging="360"/>
      </w:pPr>
      <w:rPr/>
    </w:lvl>
    <w:lvl w:ilvl="6">
      <w:start w:val="1"/>
      <w:numFmt w:val="bullet"/>
      <w:lvlText w:val="•"/>
      <w:lvlJc w:val="left"/>
      <w:pPr>
        <w:ind w:left="6268" w:hanging="360"/>
      </w:pPr>
      <w:rPr/>
    </w:lvl>
    <w:lvl w:ilvl="7">
      <w:start w:val="1"/>
      <w:numFmt w:val="bullet"/>
      <w:lvlText w:val="•"/>
      <w:lvlJc w:val="left"/>
      <w:pPr>
        <w:ind w:left="7156" w:hanging="360"/>
      </w:pPr>
      <w:rPr/>
    </w:lvl>
    <w:lvl w:ilvl="8">
      <w:start w:val="1"/>
      <w:numFmt w:val="bullet"/>
      <w:lvlText w:val="•"/>
      <w:lvlJc w:val="left"/>
      <w:pPr>
        <w:ind w:left="804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46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</w:rPr>
  </w:style>
  <w:style w:type="paragraph" w:styleId="1">
    <w:name w:val="heading 1"/>
    <w:basedOn w:val="a"/>
    <w:uiPriority w:val="9"/>
    <w:qFormat w:val="1"/>
    <w:pPr>
      <w:ind w:left="2746"/>
      <w:jc w:val="center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1"/>
    <w:qFormat w:val="1"/>
    <w:pPr>
      <w:ind w:left="941" w:hanging="360"/>
    </w:pPr>
  </w:style>
  <w:style w:type="paragraph" w:styleId="TableParagraph" w:customStyle="1">
    <w:name w:val="Table Paragraph"/>
    <w:basedOn w:val="a"/>
    <w:uiPriority w:val="1"/>
    <w:qFormat w:val="1"/>
    <w:pPr>
      <w:ind w:left="106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kaznu.kz/ru/21639/page/" TargetMode="External"/><Relationship Id="rId9" Type="http://schemas.openxmlformats.org/officeDocument/2006/relationships/hyperlink" Target="https://youtu.be/l_lP2LPFyD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abrikbrands.com/brand-storytelling-whats-your-corporate-story/" TargetMode="External"/><Relationship Id="rId8" Type="http://schemas.openxmlformats.org/officeDocument/2006/relationships/hyperlink" Target="https://www.researchgate.net/publication/262909731_Using_corporate_stories_to_build_the_corporate_brand_An_impression_management_perspectiv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iUW/OB0C6Y1aLAfL1iZbCtuMg==">AMUW2mUKuw1uMsc55PrO322A/5+LBy/yCN7qcaZ9fTi2MElwrGl04rJhA7kqxenEY0f0dx1ovUlLiw8Qlzbb/eLStNEoyj87VAZqWASMkYK81qmXz/POJEvMX8M4Xp/q31cAU80mk9ll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2021-11-24T17:34:00Z</dcterms:created>
</cp:coreProperties>
</file>